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黑体"/>
          <w:color w:val="000000"/>
          <w:sz w:val="44"/>
          <w:szCs w:val="44"/>
        </w:rPr>
      </w:pPr>
      <w:r>
        <w:rPr>
          <w:rFonts w:hint="eastAsia" w:ascii="黑体" w:hAnsi="黑体" w:eastAsia="黑体" w:cs="黑体"/>
          <w:color w:val="000000"/>
          <w:sz w:val="44"/>
          <w:szCs w:val="44"/>
        </w:rPr>
        <w:t>第二届“中国高分杯”美丽乡村大赛</w:t>
      </w:r>
    </w:p>
    <w:p>
      <w:pPr>
        <w:spacing w:line="480" w:lineRule="auto"/>
        <w:jc w:val="center"/>
        <w:rPr>
          <w:rFonts w:ascii="黑体" w:hAnsi="黑体" w:eastAsia="黑体" w:cs="黑体"/>
          <w:color w:val="000000"/>
          <w:sz w:val="44"/>
          <w:szCs w:val="44"/>
        </w:rPr>
      </w:pPr>
      <w:r>
        <w:rPr>
          <w:rFonts w:ascii="黑体" w:hAnsi="黑体" w:eastAsia="黑体" w:cs="黑体"/>
          <w:color w:val="000000"/>
          <w:sz w:val="44"/>
          <w:szCs w:val="44"/>
        </w:rPr>
        <w:t>竞赛通知</w:t>
      </w:r>
    </w:p>
    <w:p>
      <w:pPr>
        <w:spacing w:line="480" w:lineRule="auto"/>
        <w:jc w:val="center"/>
        <w:rPr>
          <w:rFonts w:ascii="黑体" w:hAnsi="黑体" w:eastAsia="黑体" w:cs="黑体"/>
          <w:color w:val="000000"/>
          <w:sz w:val="44"/>
          <w:szCs w:val="44"/>
        </w:rPr>
      </w:pPr>
    </w:p>
    <w:p>
      <w:pPr>
        <w:spacing w:before="156" w:beforeLines="50" w:after="156" w:afterLines="50" w:line="360" w:lineRule="auto"/>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一、活动目的</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为了加速推动我国高分辨率对地观测系统重大专项卫星遥感数据在</w:t>
      </w:r>
      <w:r>
        <w:rPr>
          <w:rFonts w:ascii="仿宋_GB2312" w:hAnsi="仿宋" w:cs="仿宋"/>
          <w:color w:val="000000"/>
          <w:sz w:val="32"/>
          <w:szCs w:val="32"/>
        </w:rPr>
        <w:t>农业农</w:t>
      </w:r>
      <w:r>
        <w:rPr>
          <w:rFonts w:hint="eastAsia" w:ascii="仿宋_GB2312" w:hAnsi="仿宋" w:eastAsia="仿宋_GB2312" w:cs="仿宋"/>
          <w:color w:val="000000"/>
          <w:sz w:val="32"/>
          <w:szCs w:val="32"/>
        </w:rPr>
        <w:t>村领域的应用创新，促进乡村振兴，开拓现代农业与农村大众创业、万众创新的新局面，展现中国乡村文化与美丽国土的魅力，定于2018年4月至2019年4月举办“中国高分杯”美丽乡村大赛。希望通过此次大赛展示美丽乡村、发现优秀作品、对接优质企业、链接社会大众、促进高分应用、服务乡村振兴。</w:t>
      </w:r>
    </w:p>
    <w:p>
      <w:pPr>
        <w:spacing w:before="156" w:beforeLines="50" w:after="156" w:afterLines="50" w:line="360" w:lineRule="auto"/>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二、大赛组织</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指导单位：国家国防科技工业局、国家航天局</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主办方：国家国防科技工业局重大专项工程中心、中国农业科学院、中科院地理科学与资源研究所</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承办方：中国农业科学院农业资源与农业区划研究所</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为了更好地举办首届“中国高分杯”智慧旅游大赛，指导单位和主办方诚挚邀请社会各界与企业参加，并作为大赛的协办方、赞助方。</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大赛组织委员会由大赛的指导单位、主办方和承办方等方面相关人员组成，负责大赛的总体规划与设计、组织和实施等事项。</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大赛评审专家委员会由国内外知名专家学者、社会名流、企业精英等组成，负责对参赛作品进行评审。</w:t>
      </w:r>
    </w:p>
    <w:p>
      <w:pPr>
        <w:spacing w:before="156" w:beforeLines="50" w:after="156" w:afterLines="50" w:line="360" w:lineRule="auto"/>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三、大赛内容</w:t>
      </w:r>
    </w:p>
    <w:p>
      <w:pPr>
        <w:spacing w:line="360" w:lineRule="auto"/>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大赛的主题思想：</w:t>
      </w:r>
      <w:r>
        <w:rPr>
          <w:rFonts w:hint="eastAsia" w:ascii="仿宋_GB2312" w:hAnsi="仿宋" w:eastAsia="仿宋_GB2312" w:cs="仿宋"/>
          <w:color w:val="000000"/>
          <w:sz w:val="32"/>
          <w:szCs w:val="32"/>
        </w:rPr>
        <w:t>展示美丽乡村、发现优秀作品、对接优质企业、推介天使投资、链接社会大众、促进高分应用、服务乡村振兴。</w:t>
      </w:r>
    </w:p>
    <w:p>
      <w:pPr>
        <w:spacing w:line="360" w:lineRule="auto"/>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大赛主题：</w:t>
      </w:r>
      <w:r>
        <w:rPr>
          <w:rFonts w:hint="eastAsia" w:ascii="仿宋_GB2312" w:hAnsi="仿宋" w:eastAsia="仿宋_GB2312" w:cs="仿宋"/>
          <w:color w:val="000000"/>
          <w:sz w:val="32"/>
          <w:szCs w:val="32"/>
        </w:rPr>
        <w:t>本次大赛的主题基于我国自主高分辨率对地观测系统的可见光、高光谱、雷达、红外等卫星、航空和地面摄影影像，围绕高分辨率影像在农业绿色发展、乡村振兴、现代农业、乡村旅游、精准扶贫、农村保险、平台与系统建设等七大方面设置以下29个竞赛选题。</w:t>
      </w:r>
    </w:p>
    <w:p>
      <w:pPr>
        <w:pStyle w:val="12"/>
        <w:spacing w:line="360" w:lineRule="auto"/>
        <w:ind w:firstLine="643"/>
        <w:rPr>
          <w:rFonts w:ascii="仿宋_GB2312" w:hAnsi="黑体" w:eastAsia="仿宋_GB2312" w:cs="楷体"/>
          <w:b/>
          <w:bCs/>
          <w:color w:val="000000"/>
          <w:sz w:val="32"/>
          <w:szCs w:val="32"/>
        </w:rPr>
      </w:pPr>
      <w:r>
        <w:rPr>
          <w:rFonts w:hint="eastAsia" w:ascii="仿宋_GB2312" w:hAnsi="黑体" w:eastAsia="仿宋_GB2312" w:cs="楷体"/>
          <w:b/>
          <w:bCs/>
          <w:color w:val="000000"/>
          <w:sz w:val="32"/>
          <w:szCs w:val="32"/>
        </w:rPr>
        <w:t>1、农业绿色发展</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利用高分辨率遥感影像对农业的资源、环境、生态、农产品等进行调查和评价，农业资源动态变化过程的检测，农业资源的管理与开发利用动态监测，农业信息基础数据库的及时更新等。具体竞赛选题包括：</w:t>
      </w:r>
    </w:p>
    <w:p>
      <w:pPr>
        <w:pStyle w:val="12"/>
        <w:numPr>
          <w:ilvl w:val="0"/>
          <w:numId w:val="1"/>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高分影像在资源节约农业中的应用</w:t>
      </w:r>
    </w:p>
    <w:p>
      <w:pPr>
        <w:pStyle w:val="12"/>
        <w:numPr>
          <w:ilvl w:val="0"/>
          <w:numId w:val="1"/>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高分影像在环境友好农业的应用</w:t>
      </w:r>
    </w:p>
    <w:p>
      <w:pPr>
        <w:pStyle w:val="12"/>
        <w:numPr>
          <w:ilvl w:val="0"/>
          <w:numId w:val="1"/>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高分影像在保护农产品安全的应用</w:t>
      </w:r>
    </w:p>
    <w:p>
      <w:pPr>
        <w:pStyle w:val="12"/>
        <w:numPr>
          <w:ilvl w:val="0"/>
          <w:numId w:val="1"/>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高分影像在保护农业生态保育中的应用 </w:t>
      </w:r>
    </w:p>
    <w:p>
      <w:pPr>
        <w:pStyle w:val="12"/>
        <w:spacing w:line="360" w:lineRule="auto"/>
        <w:ind w:firstLine="643"/>
        <w:rPr>
          <w:rFonts w:ascii="仿宋_GB2312" w:hAnsi="黑体" w:eastAsia="仿宋_GB2312" w:cs="楷体"/>
          <w:b/>
          <w:bCs/>
          <w:color w:val="000000"/>
          <w:sz w:val="32"/>
          <w:szCs w:val="32"/>
        </w:rPr>
      </w:pPr>
      <w:r>
        <w:rPr>
          <w:rFonts w:hint="eastAsia" w:ascii="仿宋_GB2312" w:hAnsi="黑体" w:eastAsia="仿宋_GB2312" w:cs="楷体"/>
          <w:b/>
          <w:bCs/>
          <w:color w:val="000000"/>
          <w:sz w:val="32"/>
          <w:szCs w:val="32"/>
        </w:rPr>
        <w:t>2、乡村振兴</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借助高分影像，加强对农村的经济建设，农村文化建设、农村社会建设、生态文明建设等，更好地服务大众，塑造美丽乡村新风貌。具体竞赛选题包括：</w:t>
      </w:r>
    </w:p>
    <w:p>
      <w:pPr>
        <w:pStyle w:val="12"/>
        <w:numPr>
          <w:ilvl w:val="0"/>
          <w:numId w:val="2"/>
        </w:numPr>
        <w:spacing w:line="360" w:lineRule="auto"/>
        <w:ind w:left="0" w:firstLine="426" w:firstLineChars="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高分影像在农村的经济建设中的应用</w:t>
      </w:r>
    </w:p>
    <w:p>
      <w:pPr>
        <w:pStyle w:val="12"/>
        <w:numPr>
          <w:ilvl w:val="0"/>
          <w:numId w:val="2"/>
        </w:numPr>
        <w:spacing w:line="360" w:lineRule="auto"/>
        <w:ind w:left="0" w:firstLine="426" w:firstLineChars="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高分影像在农村文化建设中的应用</w:t>
      </w:r>
    </w:p>
    <w:p>
      <w:pPr>
        <w:pStyle w:val="12"/>
        <w:numPr>
          <w:ilvl w:val="0"/>
          <w:numId w:val="2"/>
        </w:numPr>
        <w:spacing w:line="360" w:lineRule="auto"/>
        <w:ind w:left="0" w:firstLine="426" w:firstLineChars="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高分影像在农村社会建设中的应用</w:t>
      </w:r>
    </w:p>
    <w:p>
      <w:pPr>
        <w:pStyle w:val="12"/>
        <w:numPr>
          <w:ilvl w:val="0"/>
          <w:numId w:val="2"/>
        </w:numPr>
        <w:spacing w:line="360" w:lineRule="auto"/>
        <w:ind w:left="0" w:firstLine="426" w:firstLineChars="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高分影像在生态文明建设中的应用</w:t>
      </w:r>
    </w:p>
    <w:p>
      <w:pPr>
        <w:pStyle w:val="12"/>
        <w:spacing w:line="360" w:lineRule="auto"/>
        <w:ind w:firstLine="643"/>
        <w:rPr>
          <w:rFonts w:ascii="仿宋_GB2312" w:hAnsi="黑体" w:eastAsia="仿宋_GB2312" w:cs="楷体"/>
          <w:b/>
          <w:bCs/>
          <w:color w:val="000000"/>
          <w:sz w:val="32"/>
          <w:szCs w:val="32"/>
        </w:rPr>
      </w:pPr>
      <w:r>
        <w:rPr>
          <w:rFonts w:hint="eastAsia" w:ascii="仿宋_GB2312" w:hAnsi="黑体" w:eastAsia="仿宋_GB2312" w:cs="楷体"/>
          <w:b/>
          <w:bCs/>
          <w:color w:val="000000"/>
          <w:sz w:val="32"/>
          <w:szCs w:val="32"/>
        </w:rPr>
        <w:t>3. 现代农业</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借助高分影像，对现代种植业、畜牧业、水产养殖、农业服务进行实时监测，具体竞赛选题包括：</w:t>
      </w:r>
    </w:p>
    <w:p>
      <w:pPr>
        <w:pStyle w:val="12"/>
        <w:numPr>
          <w:ilvl w:val="0"/>
          <w:numId w:val="3"/>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服务</w:t>
      </w:r>
      <w:r>
        <w:rPr>
          <w:rFonts w:hint="eastAsia" w:ascii="仿宋_GB2312" w:hAnsi="仿宋" w:eastAsia="仿宋_GB2312" w:cs="仿宋"/>
          <w:color w:val="000000"/>
          <w:sz w:val="32"/>
          <w:szCs w:val="32"/>
        </w:rPr>
        <w:t>现代种植业</w:t>
      </w:r>
    </w:p>
    <w:p>
      <w:pPr>
        <w:pStyle w:val="12"/>
        <w:numPr>
          <w:ilvl w:val="0"/>
          <w:numId w:val="3"/>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服务</w:t>
      </w:r>
      <w:r>
        <w:rPr>
          <w:rFonts w:hint="eastAsia" w:ascii="仿宋_GB2312" w:hAnsi="仿宋" w:eastAsia="仿宋_GB2312" w:cs="仿宋"/>
          <w:color w:val="000000"/>
          <w:sz w:val="32"/>
          <w:szCs w:val="32"/>
        </w:rPr>
        <w:t>现代畜牧业</w:t>
      </w:r>
    </w:p>
    <w:p>
      <w:pPr>
        <w:pStyle w:val="12"/>
        <w:numPr>
          <w:ilvl w:val="0"/>
          <w:numId w:val="3"/>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服务</w:t>
      </w:r>
      <w:r>
        <w:rPr>
          <w:rFonts w:hint="eastAsia" w:ascii="仿宋_GB2312" w:hAnsi="仿宋" w:eastAsia="仿宋_GB2312" w:cs="仿宋"/>
          <w:color w:val="000000"/>
          <w:sz w:val="32"/>
          <w:szCs w:val="32"/>
        </w:rPr>
        <w:t>现代水产养殖</w:t>
      </w:r>
    </w:p>
    <w:p>
      <w:pPr>
        <w:pStyle w:val="12"/>
        <w:numPr>
          <w:ilvl w:val="0"/>
          <w:numId w:val="3"/>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服务</w:t>
      </w:r>
      <w:r>
        <w:rPr>
          <w:rFonts w:hint="eastAsia" w:ascii="仿宋_GB2312" w:hAnsi="仿宋" w:eastAsia="仿宋_GB2312" w:cs="仿宋"/>
          <w:color w:val="000000"/>
          <w:sz w:val="32"/>
          <w:szCs w:val="32"/>
        </w:rPr>
        <w:t>现代农业</w:t>
      </w:r>
    </w:p>
    <w:p>
      <w:pPr>
        <w:pStyle w:val="12"/>
        <w:spacing w:line="360" w:lineRule="auto"/>
        <w:ind w:firstLine="643"/>
        <w:rPr>
          <w:rFonts w:ascii="仿宋_GB2312" w:hAnsi="黑体" w:eastAsia="仿宋_GB2312" w:cs="楷体"/>
          <w:b/>
          <w:bCs/>
          <w:color w:val="000000"/>
          <w:sz w:val="32"/>
          <w:szCs w:val="32"/>
        </w:rPr>
      </w:pPr>
      <w:r>
        <w:rPr>
          <w:rFonts w:hint="eastAsia" w:ascii="仿宋_GB2312" w:hAnsi="黑体" w:eastAsia="仿宋_GB2312" w:cs="楷体"/>
          <w:b/>
          <w:bCs/>
          <w:color w:val="000000"/>
          <w:sz w:val="32"/>
          <w:szCs w:val="32"/>
        </w:rPr>
        <w:t>4、乡村旅游</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借助高分影像，</w:t>
      </w:r>
      <w:r>
        <w:rPr>
          <w:rFonts w:ascii="仿宋_GB2312" w:hAnsi="仿宋" w:cs="仿宋"/>
          <w:color w:val="000000"/>
          <w:sz w:val="32"/>
          <w:szCs w:val="32"/>
        </w:rPr>
        <w:t>展示观光农业、休闲农业、村镇旅游、特色小镇和田园综合体</w:t>
      </w:r>
      <w:r>
        <w:rPr>
          <w:rFonts w:hint="eastAsia" w:ascii="仿宋_GB2312" w:hAnsi="仿宋" w:eastAsia="仿宋_GB2312" w:cs="仿宋"/>
          <w:color w:val="000000"/>
          <w:sz w:val="32"/>
          <w:szCs w:val="32"/>
        </w:rPr>
        <w:t>。具体竞赛选题包括：</w:t>
      </w:r>
    </w:p>
    <w:p>
      <w:pPr>
        <w:pStyle w:val="12"/>
        <w:numPr>
          <w:ilvl w:val="0"/>
          <w:numId w:val="4"/>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高分影像中展示观光农业</w:t>
      </w:r>
    </w:p>
    <w:p>
      <w:pPr>
        <w:pStyle w:val="12"/>
        <w:numPr>
          <w:ilvl w:val="0"/>
          <w:numId w:val="4"/>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高分影像中展示</w:t>
      </w:r>
      <w:r>
        <w:rPr>
          <w:rFonts w:hint="eastAsia" w:ascii="仿宋_GB2312" w:hAnsi="仿宋" w:eastAsia="仿宋_GB2312" w:cs="仿宋"/>
          <w:bCs/>
          <w:color w:val="000000"/>
          <w:sz w:val="32"/>
          <w:szCs w:val="32"/>
        </w:rPr>
        <w:t>休闲农业</w:t>
      </w:r>
    </w:p>
    <w:p>
      <w:pPr>
        <w:pStyle w:val="12"/>
        <w:numPr>
          <w:ilvl w:val="0"/>
          <w:numId w:val="4"/>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高分影像中展示</w:t>
      </w:r>
      <w:r>
        <w:rPr>
          <w:rFonts w:hint="eastAsia" w:ascii="仿宋_GB2312" w:hAnsi="仿宋" w:eastAsia="仿宋_GB2312" w:cs="仿宋"/>
          <w:bCs/>
          <w:color w:val="000000"/>
          <w:sz w:val="32"/>
          <w:szCs w:val="32"/>
        </w:rPr>
        <w:t>村镇旅游</w:t>
      </w:r>
    </w:p>
    <w:p>
      <w:pPr>
        <w:pStyle w:val="12"/>
        <w:numPr>
          <w:ilvl w:val="0"/>
          <w:numId w:val="4"/>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高分影像中展示</w:t>
      </w:r>
      <w:r>
        <w:rPr>
          <w:rFonts w:hint="eastAsia" w:ascii="仿宋_GB2312" w:hAnsi="仿宋" w:eastAsia="仿宋_GB2312" w:cs="仿宋"/>
          <w:bCs/>
          <w:color w:val="000000"/>
          <w:sz w:val="32"/>
          <w:szCs w:val="32"/>
        </w:rPr>
        <w:t>特色小镇</w:t>
      </w:r>
    </w:p>
    <w:p>
      <w:pPr>
        <w:pStyle w:val="12"/>
        <w:numPr>
          <w:ilvl w:val="0"/>
          <w:numId w:val="4"/>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高分影像中展示</w:t>
      </w:r>
      <w:r>
        <w:rPr>
          <w:rFonts w:hint="eastAsia" w:ascii="仿宋_GB2312" w:hAnsi="仿宋" w:eastAsia="仿宋_GB2312" w:cs="仿宋"/>
          <w:bCs/>
          <w:color w:val="000000"/>
          <w:sz w:val="32"/>
          <w:szCs w:val="32"/>
        </w:rPr>
        <w:t>田园综合体</w:t>
      </w:r>
    </w:p>
    <w:p>
      <w:pPr>
        <w:pStyle w:val="12"/>
        <w:spacing w:line="360" w:lineRule="auto"/>
        <w:ind w:firstLine="643"/>
        <w:rPr>
          <w:rFonts w:ascii="仿宋_GB2312" w:hAnsi="黑体" w:eastAsia="仿宋_GB2312" w:cs="楷体"/>
          <w:b/>
          <w:bCs/>
          <w:color w:val="000000"/>
          <w:sz w:val="32"/>
          <w:szCs w:val="32"/>
        </w:rPr>
      </w:pPr>
      <w:r>
        <w:rPr>
          <w:rFonts w:hint="eastAsia" w:ascii="仿宋_GB2312" w:hAnsi="黑体" w:eastAsia="仿宋_GB2312" w:cs="楷体"/>
          <w:b/>
          <w:bCs/>
          <w:color w:val="000000"/>
          <w:sz w:val="32"/>
          <w:szCs w:val="32"/>
        </w:rPr>
        <w:t>5、精准扶贫</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借助高分影像，</w:t>
      </w:r>
      <w:r>
        <w:rPr>
          <w:rFonts w:ascii="仿宋_GB2312" w:hAnsi="仿宋" w:cs="仿宋"/>
          <w:color w:val="000000"/>
          <w:sz w:val="32"/>
          <w:szCs w:val="32"/>
        </w:rPr>
        <w:t>服务农业资源管理、脱贫项目、经济发展、社会服务</w:t>
      </w:r>
      <w:r>
        <w:rPr>
          <w:rFonts w:hint="eastAsia" w:ascii="仿宋_GB2312" w:hAnsi="仿宋" w:eastAsia="仿宋_GB2312" w:cs="仿宋"/>
          <w:color w:val="000000"/>
          <w:sz w:val="32"/>
          <w:szCs w:val="32"/>
        </w:rPr>
        <w:t>。具体竞赛选题包括：</w:t>
      </w:r>
    </w:p>
    <w:p>
      <w:pPr>
        <w:pStyle w:val="12"/>
        <w:numPr>
          <w:ilvl w:val="0"/>
          <w:numId w:val="5"/>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服务乡村</w:t>
      </w:r>
      <w:r>
        <w:rPr>
          <w:rFonts w:hint="eastAsia" w:ascii="仿宋_GB2312" w:hAnsi="仿宋" w:eastAsia="仿宋_GB2312" w:cs="仿宋"/>
          <w:bCs/>
          <w:color w:val="000000"/>
          <w:sz w:val="32"/>
          <w:szCs w:val="32"/>
        </w:rPr>
        <w:t>资源管理</w:t>
      </w:r>
    </w:p>
    <w:p>
      <w:pPr>
        <w:pStyle w:val="12"/>
        <w:numPr>
          <w:ilvl w:val="0"/>
          <w:numId w:val="5"/>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服务乡村</w:t>
      </w:r>
      <w:r>
        <w:rPr>
          <w:rFonts w:hint="eastAsia" w:ascii="仿宋_GB2312" w:hAnsi="仿宋" w:eastAsia="仿宋_GB2312" w:cs="仿宋"/>
          <w:bCs/>
          <w:color w:val="000000"/>
          <w:sz w:val="32"/>
          <w:szCs w:val="32"/>
        </w:rPr>
        <w:t>经济发展</w:t>
      </w:r>
    </w:p>
    <w:p>
      <w:pPr>
        <w:pStyle w:val="12"/>
        <w:numPr>
          <w:ilvl w:val="0"/>
          <w:numId w:val="5"/>
        </w:numPr>
        <w:spacing w:line="360" w:lineRule="auto"/>
        <w:ind w:left="0" w:firstLine="425" w:firstLineChars="133"/>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高分影像</w:t>
      </w:r>
      <w:r>
        <w:rPr>
          <w:rFonts w:ascii="仿宋_GB2312" w:hAnsi="仿宋" w:cs="仿宋"/>
          <w:bCs/>
          <w:color w:val="000000"/>
          <w:sz w:val="32"/>
          <w:szCs w:val="32"/>
        </w:rPr>
        <w:t>服务乡村</w:t>
      </w:r>
      <w:r>
        <w:rPr>
          <w:rFonts w:hint="eastAsia" w:ascii="仿宋_GB2312" w:hAnsi="仿宋" w:eastAsia="仿宋_GB2312" w:cs="仿宋"/>
          <w:bCs/>
          <w:color w:val="000000"/>
          <w:sz w:val="32"/>
          <w:szCs w:val="32"/>
        </w:rPr>
        <w:t>脱贫项目</w:t>
      </w:r>
    </w:p>
    <w:p>
      <w:pPr>
        <w:pStyle w:val="12"/>
        <w:numPr>
          <w:ilvl w:val="0"/>
          <w:numId w:val="5"/>
        </w:numPr>
        <w:spacing w:line="360" w:lineRule="auto"/>
        <w:ind w:left="0" w:firstLine="425" w:firstLineChars="133"/>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w:t>
      </w:r>
      <w:r>
        <w:rPr>
          <w:rFonts w:hint="eastAsia" w:ascii="仿宋_GB2312" w:hAnsi="仿宋" w:eastAsia="仿宋_GB2312" w:cs="仿宋"/>
          <w:bCs/>
          <w:color w:val="000000"/>
          <w:sz w:val="32"/>
          <w:szCs w:val="32"/>
        </w:rPr>
        <w:t>分影像</w:t>
      </w:r>
      <w:r>
        <w:rPr>
          <w:rFonts w:ascii="仿宋_GB2312" w:hAnsi="仿宋" w:cs="仿宋"/>
          <w:bCs/>
          <w:color w:val="000000"/>
          <w:sz w:val="32"/>
          <w:szCs w:val="32"/>
        </w:rPr>
        <w:t>服务乡村</w:t>
      </w:r>
      <w:r>
        <w:rPr>
          <w:rFonts w:hint="eastAsia" w:ascii="仿宋_GB2312" w:hAnsi="仿宋" w:eastAsia="仿宋_GB2312" w:cs="仿宋"/>
          <w:bCs/>
          <w:color w:val="000000"/>
          <w:sz w:val="32"/>
          <w:szCs w:val="32"/>
        </w:rPr>
        <w:t>社会服务</w:t>
      </w:r>
    </w:p>
    <w:p>
      <w:pPr>
        <w:pStyle w:val="12"/>
        <w:spacing w:line="360" w:lineRule="auto"/>
        <w:ind w:firstLine="643"/>
        <w:rPr>
          <w:rFonts w:ascii="仿宋_GB2312" w:hAnsi="黑体" w:eastAsia="仿宋_GB2312" w:cs="楷体"/>
          <w:b/>
          <w:bCs/>
          <w:color w:val="000000"/>
          <w:sz w:val="32"/>
          <w:szCs w:val="32"/>
        </w:rPr>
      </w:pPr>
      <w:r>
        <w:rPr>
          <w:rFonts w:hint="eastAsia" w:ascii="仿宋_GB2312" w:hAnsi="黑体" w:eastAsia="仿宋_GB2312" w:cs="楷体"/>
          <w:b/>
          <w:bCs/>
          <w:color w:val="000000"/>
          <w:sz w:val="32"/>
          <w:szCs w:val="32"/>
        </w:rPr>
        <w:t>6、农业保险</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借助高分影像，</w:t>
      </w:r>
      <w:r>
        <w:rPr>
          <w:rFonts w:ascii="仿宋_GB2312" w:hAnsi="仿宋" w:cs="仿宋"/>
          <w:color w:val="000000"/>
          <w:sz w:val="32"/>
          <w:szCs w:val="32"/>
        </w:rPr>
        <w:t>服务于</w:t>
      </w:r>
      <w:r>
        <w:rPr>
          <w:rFonts w:hint="eastAsia" w:ascii="仿宋_GB2312" w:hAnsi="仿宋" w:eastAsia="仿宋_GB2312" w:cs="仿宋"/>
          <w:color w:val="000000"/>
          <w:sz w:val="32"/>
          <w:szCs w:val="32"/>
        </w:rPr>
        <w:t>大宗作物、特色作物、畜牧业、水产养殖</w:t>
      </w:r>
      <w:r>
        <w:rPr>
          <w:rFonts w:ascii="仿宋_GB2312" w:hAnsi="仿宋" w:cs="仿宋"/>
          <w:color w:val="000000"/>
          <w:sz w:val="32"/>
          <w:szCs w:val="32"/>
        </w:rPr>
        <w:t>保险事务</w:t>
      </w:r>
      <w:r>
        <w:rPr>
          <w:rFonts w:hint="eastAsia" w:ascii="仿宋_GB2312" w:hAnsi="仿宋" w:eastAsia="仿宋_GB2312" w:cs="仿宋"/>
          <w:color w:val="000000"/>
          <w:sz w:val="32"/>
          <w:szCs w:val="32"/>
        </w:rPr>
        <w:t>，具体竞赛选题包括：</w:t>
      </w:r>
    </w:p>
    <w:p>
      <w:pPr>
        <w:pStyle w:val="14"/>
        <w:numPr>
          <w:ilvl w:val="1"/>
          <w:numId w:val="5"/>
        </w:numPr>
        <w:spacing w:line="360" w:lineRule="auto"/>
        <w:ind w:firstLineChars="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应用于</w:t>
      </w:r>
      <w:r>
        <w:rPr>
          <w:rFonts w:hint="eastAsia" w:ascii="仿宋_GB2312" w:hAnsi="仿宋" w:eastAsia="仿宋_GB2312" w:cs="仿宋"/>
          <w:color w:val="000000"/>
          <w:sz w:val="32"/>
          <w:szCs w:val="32"/>
        </w:rPr>
        <w:t>大宗作物保险</w:t>
      </w:r>
    </w:p>
    <w:p>
      <w:pPr>
        <w:pStyle w:val="14"/>
        <w:numPr>
          <w:ilvl w:val="1"/>
          <w:numId w:val="5"/>
        </w:numPr>
        <w:spacing w:line="360" w:lineRule="auto"/>
        <w:ind w:firstLineChars="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应用于</w:t>
      </w:r>
      <w:r>
        <w:rPr>
          <w:rFonts w:hint="eastAsia" w:ascii="仿宋_GB2312" w:hAnsi="仿宋" w:eastAsia="仿宋_GB2312" w:cs="仿宋"/>
          <w:color w:val="000000"/>
          <w:sz w:val="32"/>
          <w:szCs w:val="32"/>
        </w:rPr>
        <w:t>特色作物保险</w:t>
      </w:r>
    </w:p>
    <w:p>
      <w:pPr>
        <w:pStyle w:val="14"/>
        <w:numPr>
          <w:ilvl w:val="1"/>
          <w:numId w:val="5"/>
        </w:numPr>
        <w:spacing w:line="360" w:lineRule="auto"/>
        <w:ind w:firstLineChars="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应用于</w:t>
      </w:r>
      <w:r>
        <w:rPr>
          <w:rFonts w:hint="eastAsia" w:ascii="仿宋_GB2312" w:hAnsi="仿宋" w:eastAsia="仿宋_GB2312" w:cs="仿宋"/>
          <w:color w:val="000000"/>
          <w:sz w:val="32"/>
          <w:szCs w:val="32"/>
        </w:rPr>
        <w:t>畜牧业保险</w:t>
      </w:r>
    </w:p>
    <w:p>
      <w:pPr>
        <w:pStyle w:val="14"/>
        <w:numPr>
          <w:ilvl w:val="1"/>
          <w:numId w:val="5"/>
        </w:numPr>
        <w:spacing w:line="360" w:lineRule="auto"/>
        <w:ind w:firstLineChars="0"/>
        <w:rPr>
          <w:rFonts w:ascii="仿宋_GB2312" w:hAnsi="仿宋" w:eastAsia="仿宋_GB2312" w:cs="仿宋"/>
          <w:color w:val="000000"/>
          <w:sz w:val="32"/>
          <w:szCs w:val="32"/>
        </w:rPr>
      </w:pPr>
      <w:r>
        <w:rPr>
          <w:rFonts w:hint="eastAsia" w:ascii="仿宋_GB2312" w:hAnsi="仿宋" w:eastAsia="仿宋_GB2312" w:cs="仿宋"/>
          <w:color w:val="000000"/>
          <w:sz w:val="32"/>
          <w:szCs w:val="32"/>
        </w:rPr>
        <w:t>高分影像</w:t>
      </w:r>
      <w:r>
        <w:rPr>
          <w:rFonts w:ascii="仿宋_GB2312" w:hAnsi="仿宋" w:cs="仿宋"/>
          <w:color w:val="000000"/>
          <w:sz w:val="32"/>
          <w:szCs w:val="32"/>
        </w:rPr>
        <w:t>应用于</w:t>
      </w:r>
      <w:r>
        <w:rPr>
          <w:rFonts w:hint="eastAsia" w:ascii="仿宋_GB2312" w:hAnsi="仿宋" w:eastAsia="仿宋_GB2312" w:cs="仿宋"/>
          <w:color w:val="000000"/>
          <w:sz w:val="32"/>
          <w:szCs w:val="32"/>
        </w:rPr>
        <w:t>水产养殖保险</w:t>
      </w:r>
    </w:p>
    <w:p>
      <w:pPr>
        <w:pStyle w:val="12"/>
        <w:spacing w:line="360" w:lineRule="auto"/>
        <w:ind w:firstLine="643"/>
        <w:rPr>
          <w:rFonts w:ascii="仿宋_GB2312" w:hAnsi="黑体" w:eastAsia="仿宋_GB2312" w:cs="楷体"/>
          <w:b/>
          <w:bCs/>
          <w:color w:val="000000"/>
          <w:sz w:val="32"/>
          <w:szCs w:val="32"/>
        </w:rPr>
      </w:pPr>
      <w:r>
        <w:rPr>
          <w:rFonts w:hint="eastAsia" w:ascii="仿宋_GB2312" w:hAnsi="黑体" w:eastAsia="仿宋_GB2312" w:cs="楷体"/>
          <w:b/>
          <w:bCs/>
          <w:color w:val="000000"/>
          <w:sz w:val="32"/>
          <w:szCs w:val="32"/>
        </w:rPr>
        <w:t>7、平台与系统建设</w:t>
      </w:r>
    </w:p>
    <w:p>
      <w:pPr>
        <w:pStyle w:val="12"/>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借助高分影像，搭建面向乡村的全流程信息服务的乡村遥感导览云平台和管理一体化</w:t>
      </w:r>
      <w:r>
        <w:rPr>
          <w:rFonts w:ascii="仿宋_GB2312" w:hAnsi="仿宋" w:cs="仿宋"/>
          <w:color w:val="000000"/>
          <w:sz w:val="32"/>
          <w:szCs w:val="32"/>
        </w:rPr>
        <w:t>应用</w:t>
      </w:r>
      <w:r>
        <w:rPr>
          <w:rFonts w:hint="eastAsia" w:ascii="仿宋_GB2312" w:hAnsi="仿宋" w:eastAsia="仿宋_GB2312" w:cs="仿宋"/>
          <w:color w:val="000000"/>
          <w:sz w:val="32"/>
          <w:szCs w:val="32"/>
        </w:rPr>
        <w:t>服务平台，实现移动终端智能导览APP的设计开发，集成实现乡村的信息监控管理服务平台</w:t>
      </w:r>
      <w:r>
        <w:rPr>
          <w:rFonts w:hint="eastAsia" w:ascii="仿宋_GB2312" w:hAnsi="仿宋" w:eastAsia="仿宋_GB2312" w:cs="仿宋"/>
          <w:b/>
          <w:bCs/>
          <w:color w:val="000000"/>
          <w:sz w:val="32"/>
          <w:szCs w:val="32"/>
        </w:rPr>
        <w:t>，</w:t>
      </w:r>
      <w:r>
        <w:rPr>
          <w:rFonts w:hint="eastAsia" w:ascii="仿宋_GB2312" w:hAnsi="仿宋" w:eastAsia="仿宋_GB2312" w:cs="仿宋"/>
          <w:color w:val="000000"/>
          <w:sz w:val="32"/>
          <w:szCs w:val="32"/>
        </w:rPr>
        <w:t>具体竞赛选题包括：</w:t>
      </w:r>
    </w:p>
    <w:p>
      <w:pPr>
        <w:pStyle w:val="12"/>
        <w:numPr>
          <w:ilvl w:val="0"/>
          <w:numId w:val="6"/>
        </w:numPr>
        <w:spacing w:line="360" w:lineRule="auto"/>
        <w:ind w:left="0" w:firstLine="567" w:firstLineChars="0"/>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监测平台</w:t>
      </w:r>
    </w:p>
    <w:p>
      <w:pPr>
        <w:pStyle w:val="12"/>
        <w:numPr>
          <w:ilvl w:val="0"/>
          <w:numId w:val="6"/>
        </w:numPr>
        <w:spacing w:line="360" w:lineRule="auto"/>
        <w:ind w:left="0" w:firstLine="567" w:firstLineChars="0"/>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管理平台</w:t>
      </w:r>
    </w:p>
    <w:p>
      <w:pPr>
        <w:pStyle w:val="12"/>
        <w:numPr>
          <w:ilvl w:val="0"/>
          <w:numId w:val="6"/>
        </w:numPr>
        <w:spacing w:line="360" w:lineRule="auto"/>
        <w:ind w:left="0" w:firstLine="567" w:firstLineChars="0"/>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服务平台</w:t>
      </w:r>
    </w:p>
    <w:p>
      <w:pPr>
        <w:pStyle w:val="12"/>
        <w:numPr>
          <w:ilvl w:val="0"/>
          <w:numId w:val="6"/>
        </w:numPr>
        <w:spacing w:line="360" w:lineRule="auto"/>
        <w:ind w:left="0" w:firstLine="567" w:firstLineChars="0"/>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APP和小程序</w:t>
      </w:r>
    </w:p>
    <w:p>
      <w:pPr>
        <w:spacing w:before="156" w:beforeLines="50" w:after="156" w:afterLines="50" w:line="360" w:lineRule="auto"/>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四、奖项设置</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本次大赛共设置一等奖一名、二等奖五名、三等奖十名，颁发奖金和奖状。奖项设置如下：</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1.一等奖：奖杯、奖状和奖金</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2.二等奖：团队奖，奖杯、奖状和奖金</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3.三等奖：奖状</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评委会专家本着公平、公正的基本原则对参赛作品进行评审。大会的指导单位和主办方将获奖项目在"高分应用综合信息服务共享平台"上向社会各界推介，并向著名的旅游企业和金融投资行业进行商业推荐</w:t>
      </w:r>
      <w:r>
        <w:rPr>
          <w:rFonts w:ascii="仿宋_GB2312" w:hAnsi="仿宋" w:cs="仿宋"/>
          <w:color w:val="000000"/>
          <w:sz w:val="32"/>
          <w:szCs w:val="32"/>
        </w:rPr>
        <w:t>。</w:t>
      </w:r>
    </w:p>
    <w:p>
      <w:pPr>
        <w:spacing w:before="156" w:beforeLines="50" w:after="156" w:afterLines="50" w:line="360" w:lineRule="auto"/>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五、参赛方式</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大赛组委会在2018年4月24日在国家航天日活动发布竞赛通知。</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大赛组委会设专家咨询办公室，负责大赛期间的答疑、指导等。具体联系人信息如下：</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r>
        <w:rPr>
          <w:rFonts w:ascii="仿宋_GB2312" w:hAnsi="仿宋" w:cs="仿宋"/>
          <w:color w:val="000000"/>
          <w:sz w:val="32"/>
          <w:szCs w:val="32"/>
        </w:rPr>
        <w:t>廖楚江</w:t>
      </w:r>
      <w:r>
        <w:rPr>
          <w:rFonts w:hint="eastAsia" w:ascii="仿宋_GB2312" w:hAnsi="仿宋" w:eastAsia="仿宋_GB2312" w:cs="仿宋"/>
          <w:color w:val="000000"/>
          <w:sz w:val="32"/>
          <w:szCs w:val="32"/>
        </w:rPr>
        <w:t>，国家国防科技工业局重大专项工程中心，13</w:t>
      </w:r>
      <w:r>
        <w:rPr>
          <w:rFonts w:hAnsi="仿宋" w:eastAsia="仿宋_GB2312" w:cs="仿宋"/>
          <w:color w:val="000000"/>
          <w:sz w:val="32"/>
          <w:szCs w:val="32"/>
        </w:rPr>
        <w:t>811266737</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2）</w:t>
      </w:r>
      <w:r>
        <w:rPr>
          <w:rFonts w:ascii="仿宋_GB2312" w:hAnsi="仿宋" w:eastAsia="仿宋_GB2312" w:cs="仿宋"/>
          <w:color w:val="000000"/>
          <w:sz w:val="32"/>
          <w:szCs w:val="32"/>
        </w:rPr>
        <w:t>陈仲新，中国农业科学院</w:t>
      </w:r>
      <w:r>
        <w:rPr>
          <w:rFonts w:ascii="仿宋_GB2312" w:hAnsi="仿宋" w:cs="仿宋"/>
          <w:color w:val="000000"/>
          <w:sz w:val="32"/>
          <w:szCs w:val="32"/>
        </w:rPr>
        <w:t>，18701548101</w:t>
      </w:r>
    </w:p>
    <w:p>
      <w:pPr>
        <w:spacing w:line="360" w:lineRule="auto"/>
        <w:ind w:firstLine="640" w:firstLineChars="200"/>
        <w:jc w:val="left"/>
        <w:rPr>
          <w:rFonts w:ascii="仿宋_GB2312" w:hAnsi="仿宋" w:eastAsia="仿宋_GB2312" w:cs="仿宋"/>
          <w:color w:val="000000"/>
          <w:sz w:val="32"/>
          <w:szCs w:val="32"/>
        </w:rPr>
      </w:pPr>
      <w:r>
        <w:rPr>
          <w:rFonts w:hAnsi="仿宋" w:eastAsia="仿宋_GB2312" w:cs="仿宋"/>
          <w:color w:val="000000"/>
          <w:sz w:val="32"/>
          <w:szCs w:val="32"/>
        </w:rPr>
        <w:t>3</w:t>
      </w:r>
      <w:r>
        <w:rPr>
          <w:rFonts w:hAnsi="仿宋" w:cs="仿宋"/>
          <w:color w:val="000000"/>
          <w:sz w:val="32"/>
          <w:szCs w:val="32"/>
        </w:rPr>
        <w:t>）</w:t>
      </w:r>
      <w:r>
        <w:rPr>
          <w:rFonts w:hint="eastAsia" w:ascii="仿宋_GB2312" w:hAnsi="仿宋" w:eastAsia="仿宋_GB2312" w:cs="仿宋"/>
          <w:color w:val="000000"/>
          <w:sz w:val="32"/>
          <w:szCs w:val="32"/>
        </w:rPr>
        <w:t>马晓熠，中国科学院地理科学与资源研究所， 15101636637</w:t>
      </w:r>
    </w:p>
    <w:p>
      <w:pPr>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大赛组委会将设置大赛网站，及时向参赛团队和人员发布相关信息。</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欢迎高分用户、企业、创新创业团队、高等院校及科研研究所师生等组队参赛，按自愿报名的原则，填报参赛信息及承诺书。</w:t>
      </w:r>
    </w:p>
    <w:p>
      <w:pPr>
        <w:spacing w:before="156" w:beforeLines="50" w:after="156" w:afterLines="50" w:line="360" w:lineRule="auto"/>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六、注意事项</w:t>
      </w:r>
      <w:r>
        <w:rPr>
          <w:rFonts w:eastAsia="仿宋_GB2312" w:cs="Calibri"/>
          <w:b/>
          <w:color w:val="000000"/>
          <w:sz w:val="32"/>
          <w:szCs w:val="32"/>
        </w:rPr>
        <w:t> </w:t>
      </w:r>
    </w:p>
    <w:p>
      <w:pPr>
        <w:pStyle w:val="12"/>
        <w:numPr>
          <w:ilvl w:val="0"/>
          <w:numId w:val="7"/>
        </w:numPr>
        <w:spacing w:line="360" w:lineRule="auto"/>
        <w:ind w:left="640" w:hanging="640" w:hanging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每个团队组成人数不超过5人；</w:t>
      </w:r>
      <w:r>
        <w:rPr>
          <w:rFonts w:eastAsia="仿宋_GB2312" w:cs="Calibri"/>
          <w:color w:val="000000"/>
          <w:sz w:val="32"/>
          <w:szCs w:val="32"/>
        </w:rPr>
        <w:t> </w:t>
      </w:r>
    </w:p>
    <w:p>
      <w:pPr>
        <w:pStyle w:val="12"/>
        <w:numPr>
          <w:ilvl w:val="0"/>
          <w:numId w:val="7"/>
        </w:numPr>
        <w:spacing w:line="360" w:lineRule="auto"/>
        <w:ind w:left="640" w:hanging="640" w:hanging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参赛团队名称不得包含不文明字眼；</w:t>
      </w:r>
      <w:r>
        <w:rPr>
          <w:rFonts w:eastAsia="仿宋_GB2312" w:cs="Calibri"/>
          <w:color w:val="000000"/>
          <w:sz w:val="32"/>
          <w:szCs w:val="32"/>
        </w:rPr>
        <w:t> </w:t>
      </w:r>
    </w:p>
    <w:p>
      <w:pPr>
        <w:pStyle w:val="12"/>
        <w:numPr>
          <w:ilvl w:val="0"/>
          <w:numId w:val="7"/>
        </w:numPr>
        <w:spacing w:line="360" w:lineRule="auto"/>
        <w:ind w:left="640" w:hanging="640" w:hanging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为确保竞赛公平，每位参赛人员在单个竞赛课目中仅限报名一次；</w:t>
      </w:r>
    </w:p>
    <w:p>
      <w:pPr>
        <w:pStyle w:val="12"/>
        <w:numPr>
          <w:ilvl w:val="0"/>
          <w:numId w:val="7"/>
        </w:numPr>
        <w:spacing w:line="360" w:lineRule="auto"/>
        <w:ind w:left="640" w:hanging="640" w:hanging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登录"高分应用综合信息服务共享平台"网站报名，采用实名审核，审核通过的实名信息将无法修改，如实际参赛人员与报名信息不符，组委会有权取消相关团队和人员的参赛资格;</w:t>
      </w:r>
    </w:p>
    <w:p>
      <w:pPr>
        <w:pStyle w:val="12"/>
        <w:numPr>
          <w:ilvl w:val="0"/>
          <w:numId w:val="7"/>
        </w:numPr>
        <w:spacing w:line="360" w:lineRule="auto"/>
        <w:ind w:left="640" w:hanging="640" w:hanging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参赛团队所需数据由指定网站审核后免费提供。</w:t>
      </w:r>
    </w:p>
    <w:p>
      <w:pPr>
        <w:spacing w:before="156" w:beforeLines="50" w:after="156" w:afterLines="50" w:line="360" w:lineRule="auto"/>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七、赛程设置</w:t>
      </w:r>
    </w:p>
    <w:p>
      <w:pPr>
        <w:spacing w:line="360" w:lineRule="auto"/>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2018年4月</w:t>
      </w:r>
      <w:r>
        <w:rPr>
          <w:rFonts w:hint="eastAsia" w:ascii="仿宋_GB2312" w:hAnsi="仿宋" w:eastAsia="仿宋_GB2312" w:cs="仿宋"/>
          <w:color w:val="000000"/>
          <w:sz w:val="32"/>
          <w:szCs w:val="32"/>
        </w:rPr>
        <w:t>：</w:t>
      </w:r>
      <w:r>
        <w:rPr>
          <w:rFonts w:hint="eastAsia" w:ascii="仿宋_GB2312" w:hAnsi="仿宋" w:eastAsia="仿宋_GB2312" w:cs="仿宋"/>
          <w:b/>
          <w:color w:val="000000"/>
          <w:sz w:val="32"/>
          <w:szCs w:val="32"/>
        </w:rPr>
        <w:t>发布比赛通知</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4月24日，航天日发布竞赛通知</w:t>
      </w:r>
    </w:p>
    <w:p>
      <w:pPr>
        <w:spacing w:line="360" w:lineRule="auto"/>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5-6月</w:t>
      </w:r>
      <w:r>
        <w:rPr>
          <w:rFonts w:hint="eastAsia" w:ascii="仿宋_GB2312" w:hAnsi="仿宋" w:eastAsia="仿宋_GB2312" w:cs="仿宋"/>
          <w:color w:val="000000"/>
          <w:sz w:val="32"/>
          <w:szCs w:val="32"/>
        </w:rPr>
        <w:t>：</w:t>
      </w:r>
      <w:r>
        <w:rPr>
          <w:rFonts w:hint="eastAsia" w:ascii="仿宋_GB2312" w:hAnsi="仿宋" w:eastAsia="仿宋_GB2312" w:cs="仿宋"/>
          <w:b/>
          <w:color w:val="000000"/>
          <w:sz w:val="32"/>
          <w:szCs w:val="32"/>
        </w:rPr>
        <w:t>报名阶段</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报名截止日期 6月30日，在"高分应用综合信息服务共享平台"网上实名报名，填写报名申请表，组委会组织资格审核，审批。</w:t>
      </w:r>
      <w:r>
        <w:rPr>
          <w:rFonts w:hAnsi="仿宋" w:eastAsia="仿宋_GB2312" w:cs="仿宋"/>
          <w:color w:val="000000"/>
          <w:sz w:val="32"/>
          <w:szCs w:val="32"/>
        </w:rPr>
        <w:t>7</w:t>
      </w:r>
      <w:r>
        <w:rPr>
          <w:rFonts w:hint="eastAsia" w:ascii="仿宋_GB2312" w:hAnsi="仿宋" w:eastAsia="仿宋_GB2312" w:cs="仿宋"/>
          <w:color w:val="000000"/>
          <w:sz w:val="32"/>
          <w:szCs w:val="32"/>
        </w:rPr>
        <w:t>月</w:t>
      </w:r>
      <w:r>
        <w:rPr>
          <w:rFonts w:ascii="仿宋_GB2312" w:hAnsi="仿宋" w:cs="仿宋"/>
          <w:color w:val="000000"/>
          <w:sz w:val="32"/>
          <w:szCs w:val="32"/>
        </w:rPr>
        <w:t>上旬</w:t>
      </w:r>
      <w:r>
        <w:rPr>
          <w:rFonts w:hint="eastAsia" w:ascii="仿宋_GB2312" w:hAnsi="仿宋" w:eastAsia="仿宋_GB2312" w:cs="仿宋"/>
          <w:color w:val="000000"/>
          <w:sz w:val="32"/>
          <w:szCs w:val="32"/>
        </w:rPr>
        <w:t>正式发布参赛名单。</w:t>
      </w:r>
    </w:p>
    <w:p>
      <w:pPr>
        <w:spacing w:line="360" w:lineRule="auto"/>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7-1</w:t>
      </w:r>
      <w:r>
        <w:rPr>
          <w:rFonts w:ascii="仿宋_GB2312" w:hAnsi="仿宋" w:eastAsia="仿宋_GB2312" w:cs="仿宋"/>
          <w:b/>
          <w:color w:val="000000"/>
          <w:sz w:val="32"/>
          <w:szCs w:val="32"/>
        </w:rPr>
        <w:t>2</w:t>
      </w:r>
      <w:r>
        <w:rPr>
          <w:rFonts w:hint="eastAsia" w:ascii="仿宋_GB2312" w:hAnsi="仿宋" w:eastAsia="仿宋_GB2312" w:cs="仿宋"/>
          <w:b/>
          <w:color w:val="000000"/>
          <w:sz w:val="32"/>
          <w:szCs w:val="32"/>
        </w:rPr>
        <w:t>月：提交初赛作品</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月30日所有团队提交参赛作品。</w:t>
      </w:r>
    </w:p>
    <w:p>
      <w:pPr>
        <w:spacing w:line="360" w:lineRule="auto"/>
        <w:ind w:firstLine="643" w:firstLineChars="200"/>
        <w:rPr>
          <w:rFonts w:ascii="仿宋_GB2312" w:hAnsi="仿宋" w:eastAsia="仿宋_GB2312" w:cs="仿宋"/>
          <w:b/>
          <w:color w:val="000000"/>
          <w:sz w:val="32"/>
          <w:szCs w:val="32"/>
        </w:rPr>
      </w:pPr>
      <w:r>
        <w:rPr>
          <w:rFonts w:hAnsi="仿宋" w:eastAsia="仿宋_GB2312" w:cs="仿宋"/>
          <w:b/>
          <w:color w:val="000000"/>
          <w:sz w:val="32"/>
          <w:szCs w:val="32"/>
        </w:rPr>
        <w:t>2019</w:t>
      </w:r>
      <w:r>
        <w:rPr>
          <w:rFonts w:hint="eastAsia" w:ascii="仿宋_GB2312" w:hAnsi="仿宋" w:eastAsia="仿宋_GB2312" w:cs="仿宋"/>
          <w:b/>
          <w:color w:val="000000"/>
          <w:sz w:val="32"/>
          <w:szCs w:val="32"/>
        </w:rPr>
        <w:t>年1月-</w:t>
      </w:r>
      <w:r>
        <w:rPr>
          <w:rFonts w:ascii="仿宋_GB2312" w:hAnsi="仿宋" w:eastAsia="仿宋_GB2312" w:cs="仿宋"/>
          <w:b/>
          <w:color w:val="000000"/>
          <w:sz w:val="32"/>
          <w:szCs w:val="32"/>
        </w:rPr>
        <w:t>2</w:t>
      </w:r>
      <w:r>
        <w:rPr>
          <w:rFonts w:hint="eastAsia" w:ascii="仿宋_GB2312" w:hAnsi="仿宋" w:eastAsia="仿宋_GB2312" w:cs="仿宋"/>
          <w:b/>
          <w:color w:val="000000"/>
          <w:sz w:val="32"/>
          <w:szCs w:val="32"/>
        </w:rPr>
        <w:t>月：作品评审</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大赛评审专家委员会将于1月对参赛作品进行初评，组委会与</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月30日前公布初评结果和现场决赛入围名单。</w:t>
      </w:r>
    </w:p>
    <w:p>
      <w:pPr>
        <w:spacing w:line="360" w:lineRule="auto"/>
        <w:ind w:firstLine="643" w:firstLineChars="20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201</w:t>
      </w:r>
      <w:r>
        <w:rPr>
          <w:rFonts w:ascii="仿宋_GB2312" w:hAnsi="仿宋" w:eastAsia="仿宋_GB2312" w:cs="仿宋"/>
          <w:b/>
          <w:color w:val="000000"/>
          <w:sz w:val="32"/>
          <w:szCs w:val="32"/>
        </w:rPr>
        <w:t>9</w:t>
      </w:r>
      <w:r>
        <w:rPr>
          <w:rFonts w:hint="eastAsia" w:ascii="仿宋_GB2312" w:hAnsi="仿宋" w:eastAsia="仿宋_GB2312" w:cs="仿宋"/>
          <w:b/>
          <w:color w:val="000000"/>
          <w:sz w:val="32"/>
          <w:szCs w:val="32"/>
        </w:rPr>
        <w:t>年</w:t>
      </w:r>
      <w:r>
        <w:rPr>
          <w:rFonts w:ascii="仿宋_GB2312" w:hAnsi="仿宋" w:eastAsia="仿宋_GB2312" w:cs="仿宋"/>
          <w:b/>
          <w:color w:val="000000"/>
          <w:sz w:val="32"/>
          <w:szCs w:val="32"/>
        </w:rPr>
        <w:t>3</w:t>
      </w:r>
      <w:r>
        <w:rPr>
          <w:rFonts w:hint="eastAsia" w:ascii="仿宋_GB2312" w:hAnsi="仿宋" w:eastAsia="仿宋_GB2312" w:cs="仿宋"/>
          <w:b/>
          <w:color w:val="000000"/>
          <w:sz w:val="32"/>
          <w:szCs w:val="32"/>
        </w:rPr>
        <w:t>月-4月</w:t>
      </w:r>
      <w:r>
        <w:rPr>
          <w:rFonts w:ascii="仿宋_GB2312" w:hAnsi="仿宋" w:cs="仿宋"/>
          <w:b/>
          <w:color w:val="000000"/>
          <w:sz w:val="32"/>
          <w:szCs w:val="32"/>
        </w:rPr>
        <w:t>：大赛决赛</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大赛组织委员会组织入围作品的决赛，大赛评审专家委员会对决赛作品进行现场评比，并按评分结果对参赛团队进行顺序排名，评选出一等奖、二等奖和三等奖。</w:t>
      </w:r>
    </w:p>
    <w:p>
      <w:pPr>
        <w:spacing w:line="360" w:lineRule="auto"/>
        <w:ind w:firstLine="640" w:firstLineChars="200"/>
        <w:rPr>
          <w:rFonts w:ascii="仿宋_GB2312" w:hAnsi="仿宋" w:eastAsia="仿宋_GB2312" w:cs="仿宋"/>
          <w:color w:val="000000"/>
          <w:sz w:val="32"/>
          <w:szCs w:val="32"/>
        </w:rPr>
      </w:pPr>
    </w:p>
    <w:tbl>
      <w:tblPr>
        <w:tblStyle w:val="9"/>
        <w:tblW w:w="8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0"/>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10" w:type="dxa"/>
          </w:tcPr>
          <w:p>
            <w:pPr>
              <w:spacing w:line="360" w:lineRule="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国防科工局重大专项工程中心</w:t>
            </w:r>
          </w:p>
        </w:tc>
        <w:tc>
          <w:tcPr>
            <w:tcW w:w="4311" w:type="dxa"/>
          </w:tcPr>
          <w:p>
            <w:pPr>
              <w:spacing w:line="360" w:lineRule="auto"/>
              <w:rPr>
                <w:rFonts w:ascii="仿宋_GB2312" w:hAnsi="仿宋" w:eastAsia="仿宋_GB2312" w:cs="仿宋"/>
                <w:color w:val="000000"/>
                <w:kern w:val="0"/>
                <w:sz w:val="32"/>
                <w:szCs w:val="32"/>
              </w:rPr>
            </w:pPr>
            <w:r>
              <w:rPr>
                <w:rFonts w:ascii="仿宋_GB2312" w:hAnsi="仿宋" w:cs="仿宋"/>
                <w:color w:val="000000"/>
                <w:kern w:val="0"/>
                <w:sz w:val="32"/>
                <w:szCs w:val="32"/>
              </w:rPr>
              <w:t>中国农业科学院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10" w:type="dxa"/>
          </w:tcPr>
          <w:p>
            <w:pPr>
              <w:spacing w:line="360" w:lineRule="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年  月  日</w:t>
            </w:r>
          </w:p>
        </w:tc>
        <w:tc>
          <w:tcPr>
            <w:tcW w:w="4311" w:type="dxa"/>
          </w:tcPr>
          <w:p>
            <w:pPr>
              <w:spacing w:line="360" w:lineRule="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10" w:type="dxa"/>
          </w:tcPr>
          <w:p>
            <w:pPr>
              <w:spacing w:line="360" w:lineRule="auto"/>
              <w:rPr>
                <w:rFonts w:ascii="仿宋_GB2312" w:hAnsi="仿宋" w:eastAsia="仿宋_GB2312" w:cs="仿宋"/>
                <w:color w:val="000000"/>
                <w:kern w:val="0"/>
                <w:sz w:val="32"/>
                <w:szCs w:val="32"/>
              </w:rPr>
            </w:pPr>
            <w:r>
              <w:rPr>
                <w:rFonts w:ascii="仿宋_GB2312" w:hAnsi="仿宋" w:eastAsia="仿宋_GB2312" w:cs="仿宋"/>
                <w:color w:val="000000"/>
                <w:kern w:val="0"/>
                <w:sz w:val="32"/>
                <w:szCs w:val="32"/>
              </w:rPr>
              <w:t>中国科学院地理科学与资源研究所</w:t>
            </w:r>
          </w:p>
        </w:tc>
        <w:tc>
          <w:tcPr>
            <w:tcW w:w="4311" w:type="dxa"/>
          </w:tcPr>
          <w:p>
            <w:pPr>
              <w:spacing w:line="360" w:lineRule="auto"/>
              <w:rPr>
                <w:rFonts w:ascii="仿宋_GB2312" w:hAnsi="仿宋" w:eastAsia="仿宋_GB2312" w:cs="仿宋"/>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10" w:type="dxa"/>
          </w:tcPr>
          <w:p>
            <w:pPr>
              <w:spacing w:line="360" w:lineRule="auto"/>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r>
              <w:rPr>
                <w:rFonts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rPr>
              <w:t>年  月  日</w:t>
            </w:r>
          </w:p>
        </w:tc>
        <w:tc>
          <w:tcPr>
            <w:tcW w:w="4311" w:type="dxa"/>
          </w:tcPr>
          <w:p>
            <w:pPr>
              <w:spacing w:line="360" w:lineRule="auto"/>
              <w:rPr>
                <w:rFonts w:ascii="仿宋_GB2312" w:hAnsi="仿宋" w:eastAsia="仿宋_GB2312" w:cs="仿宋"/>
                <w:color w:val="000000"/>
                <w:kern w:val="0"/>
                <w:sz w:val="32"/>
                <w:szCs w:val="32"/>
              </w:rPr>
            </w:pPr>
          </w:p>
        </w:tc>
      </w:tr>
    </w:tbl>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br w:type="page"/>
      </w:r>
    </w:p>
    <w:p>
      <w:pPr>
        <w:spacing w:line="360" w:lineRule="auto"/>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附：第二届“中国高分杯”美丽乡村大赛报名表</w:t>
      </w:r>
      <w:bookmarkStart w:id="0" w:name="_GoBack"/>
      <w:bookmarkEnd w:id="0"/>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93"/>
        <w:gridCol w:w="1483"/>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单位名称</w:t>
            </w:r>
          </w:p>
        </w:tc>
        <w:tc>
          <w:tcPr>
            <w:tcW w:w="6350" w:type="dxa"/>
            <w:gridSpan w:val="3"/>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（若为学生，请填写所在学校名称）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参赛团队负责人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姓名</w:t>
            </w:r>
          </w:p>
        </w:tc>
        <w:tc>
          <w:tcPr>
            <w:tcW w:w="2193" w:type="dxa"/>
          </w:tcPr>
          <w:p>
            <w:pPr>
              <w:rPr>
                <w:rFonts w:ascii="仿宋_GB2312" w:hAnsi="仿宋" w:eastAsia="仿宋_GB2312" w:cs="仿宋"/>
                <w:color w:val="000000"/>
                <w:kern w:val="0"/>
                <w:sz w:val="32"/>
                <w:szCs w:val="32"/>
              </w:rPr>
            </w:pPr>
          </w:p>
        </w:tc>
        <w:tc>
          <w:tcPr>
            <w:tcW w:w="1483"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职务</w:t>
            </w:r>
          </w:p>
        </w:tc>
        <w:tc>
          <w:tcPr>
            <w:tcW w:w="2674" w:type="dxa"/>
          </w:tcPr>
          <w:p>
            <w:pP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手机</w:t>
            </w:r>
          </w:p>
        </w:tc>
        <w:tc>
          <w:tcPr>
            <w:tcW w:w="2193" w:type="dxa"/>
          </w:tcPr>
          <w:p>
            <w:pPr>
              <w:rPr>
                <w:rFonts w:ascii="仿宋_GB2312" w:hAnsi="仿宋" w:eastAsia="仿宋_GB2312" w:cs="仿宋"/>
                <w:color w:val="000000"/>
                <w:kern w:val="0"/>
                <w:sz w:val="32"/>
                <w:szCs w:val="32"/>
              </w:rPr>
            </w:pPr>
          </w:p>
        </w:tc>
        <w:tc>
          <w:tcPr>
            <w:tcW w:w="1483"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邮箱</w:t>
            </w:r>
          </w:p>
        </w:tc>
        <w:tc>
          <w:tcPr>
            <w:tcW w:w="2674" w:type="dxa"/>
          </w:tcPr>
          <w:p>
            <w:pP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地址</w:t>
            </w:r>
          </w:p>
        </w:tc>
        <w:tc>
          <w:tcPr>
            <w:tcW w:w="2193" w:type="dxa"/>
          </w:tcPr>
          <w:p>
            <w:pPr>
              <w:rPr>
                <w:rFonts w:ascii="仿宋_GB2312" w:hAnsi="仿宋" w:eastAsia="仿宋_GB2312" w:cs="仿宋"/>
                <w:color w:val="000000"/>
                <w:kern w:val="0"/>
                <w:sz w:val="32"/>
                <w:szCs w:val="32"/>
              </w:rPr>
            </w:pPr>
          </w:p>
        </w:tc>
        <w:tc>
          <w:tcPr>
            <w:tcW w:w="1483"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身份证</w:t>
            </w:r>
          </w:p>
        </w:tc>
        <w:tc>
          <w:tcPr>
            <w:tcW w:w="2674" w:type="dxa"/>
          </w:tcPr>
          <w:p>
            <w:pP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参赛项目名称</w:t>
            </w:r>
          </w:p>
        </w:tc>
        <w:tc>
          <w:tcPr>
            <w:tcW w:w="6350" w:type="dxa"/>
            <w:gridSpan w:val="3"/>
          </w:tcPr>
          <w:p>
            <w:pP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所属方向</w:t>
            </w:r>
          </w:p>
        </w:tc>
        <w:tc>
          <w:tcPr>
            <w:tcW w:w="6350" w:type="dxa"/>
            <w:gridSpan w:val="3"/>
          </w:tcPr>
          <w:p>
            <w:pPr>
              <w:spacing w:line="52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□农业绿色发展、</w:t>
            </w:r>
          </w:p>
          <w:p>
            <w:pPr>
              <w:spacing w:line="52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□乡村振兴</w:t>
            </w:r>
          </w:p>
          <w:p>
            <w:pPr>
              <w:spacing w:line="52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□现代农业</w:t>
            </w:r>
          </w:p>
          <w:p>
            <w:pPr>
              <w:spacing w:line="52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□乡村旅游</w:t>
            </w:r>
          </w:p>
          <w:p>
            <w:pPr>
              <w:spacing w:line="52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□精准扶贫</w:t>
            </w:r>
          </w:p>
          <w:p>
            <w:pPr>
              <w:spacing w:line="52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□农村保险</w:t>
            </w:r>
          </w:p>
          <w:p>
            <w:pPr>
              <w:spacing w:line="520" w:lineRule="exact"/>
              <w:rPr>
                <w:rFonts w:ascii="仿宋_GB2312" w:hAnsi="楷体" w:eastAsia="仿宋_GB2312" w:cs="楷体"/>
                <w:bCs/>
                <w:color w:val="000000"/>
                <w:kern w:val="0"/>
                <w:sz w:val="32"/>
                <w:szCs w:val="32"/>
              </w:rPr>
            </w:pPr>
            <w:r>
              <w:rPr>
                <w:rFonts w:hint="eastAsia" w:ascii="仿宋_GB2312" w:hAnsi="仿宋" w:eastAsia="仿宋_GB2312" w:cs="仿宋"/>
                <w:color w:val="000000"/>
                <w:kern w:val="0"/>
                <w:sz w:val="32"/>
                <w:szCs w:val="32"/>
              </w:rPr>
              <w:t>□平台与系统建设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参赛项目简介</w:t>
            </w:r>
          </w:p>
        </w:tc>
        <w:tc>
          <w:tcPr>
            <w:tcW w:w="6350" w:type="dxa"/>
            <w:gridSpan w:val="3"/>
          </w:tcPr>
          <w:p>
            <w:pPr>
              <w:rPr>
                <w:rFonts w:ascii="仿宋_GB2312" w:hAnsi="仿宋" w:eastAsia="仿宋_GB2312" w:cs="仿宋"/>
                <w:color w:val="000000"/>
                <w:kern w:val="0"/>
                <w:sz w:val="32"/>
                <w:szCs w:val="32"/>
              </w:rPr>
            </w:pPr>
          </w:p>
          <w:p>
            <w:pPr>
              <w:rPr>
                <w:rFonts w:ascii="仿宋_GB2312" w:hAnsi="仿宋" w:eastAsia="仿宋_GB2312" w:cs="仿宋"/>
                <w:color w:val="000000"/>
                <w:kern w:val="0"/>
                <w:sz w:val="32"/>
                <w:szCs w:val="32"/>
              </w:rPr>
            </w:pPr>
          </w:p>
          <w:p>
            <w:pP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团队介绍</w:t>
            </w:r>
          </w:p>
        </w:tc>
        <w:tc>
          <w:tcPr>
            <w:tcW w:w="6350" w:type="dxa"/>
            <w:gridSpan w:val="3"/>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(团队成员人数不超过5人，含负责人)</w:t>
            </w:r>
          </w:p>
          <w:p>
            <w:pPr>
              <w:rPr>
                <w:rFonts w:ascii="仿宋_GB2312" w:hAnsi="仿宋" w:eastAsia="仿宋_GB2312"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2172" w:type="dxa"/>
          </w:tcPr>
          <w:p>
            <w:pPr>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备注</w:t>
            </w:r>
          </w:p>
        </w:tc>
        <w:tc>
          <w:tcPr>
            <w:tcW w:w="6350" w:type="dxa"/>
            <w:gridSpan w:val="3"/>
          </w:tcPr>
          <w:p>
            <w:pPr>
              <w:rPr>
                <w:rFonts w:ascii="仿宋_GB2312" w:hAnsi="仿宋" w:eastAsia="仿宋_GB2312" w:cs="仿宋"/>
                <w:color w:val="000000"/>
                <w:kern w:val="0"/>
                <w:sz w:val="32"/>
                <w:szCs w:val="32"/>
              </w:rPr>
            </w:pPr>
          </w:p>
          <w:p>
            <w:pPr>
              <w:rPr>
                <w:rFonts w:ascii="仿宋_GB2312" w:hAnsi="仿宋" w:eastAsia="仿宋_GB2312" w:cs="仿宋"/>
                <w:color w:val="000000"/>
                <w:kern w:val="0"/>
                <w:sz w:val="32"/>
                <w:szCs w:val="32"/>
              </w:rPr>
            </w:pPr>
          </w:p>
        </w:tc>
      </w:tr>
    </w:tbl>
    <w:p>
      <w:pPr>
        <w:rPr>
          <w:rFonts w:ascii="仿宋_GB2312" w:eastAsia="仿宋_GB2312"/>
          <w:color w:val="000000"/>
          <w:sz w:val="32"/>
          <w:szCs w:val="32"/>
        </w:rPr>
      </w:pPr>
    </w:p>
    <w:sectPr>
      <w:footerReference r:id="rId3" w:type="default"/>
      <w:pgSz w:w="11906" w:h="16838"/>
      <w:pgMar w:top="1440" w:right="1800" w:bottom="1440"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20" w:hanging="4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420" w:hanging="4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7"/>
    <w:multiLevelType w:val="multilevel"/>
    <w:tmpl w:val="0000000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53208E"/>
    <w:multiLevelType w:val="multilevel"/>
    <w:tmpl w:val="005320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E2"/>
    <w:rsid w:val="00481A56"/>
    <w:rsid w:val="00CB64E2"/>
    <w:rsid w:val="00D5199F"/>
    <w:rsid w:val="5DFB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kern w:val="0"/>
      <w:sz w:val="24"/>
      <w:szCs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4"/>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List Paragraph_c7a1fd29-6c1f-4d02-a19a-25cd7af1051f"/>
    <w:basedOn w:val="1"/>
    <w:qFormat/>
    <w:uiPriority w:val="34"/>
    <w:pPr>
      <w:ind w:firstLine="420" w:firstLineChars="200"/>
    </w:pPr>
  </w:style>
  <w:style w:type="character" w:customStyle="1" w:styleId="13">
    <w:name w:val="批注框文本 字符"/>
    <w:basedOn w:val="6"/>
    <w:link w:val="2"/>
    <w:uiPriority w:val="99"/>
    <w:rPr>
      <w:rFonts w:ascii="Calibri" w:hAnsi="Calibri" w:eastAsia="宋体" w:cs="宋体"/>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406</Words>
  <Characters>2318</Characters>
  <Lines>19</Lines>
  <Paragraphs>5</Paragraphs>
  <TotalTime>0</TotalTime>
  <ScaleCrop>false</ScaleCrop>
  <LinksUpToDate>false</LinksUpToDate>
  <CharactersWithSpaces>2719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2018-05-02T02:30:00Z</dcterms:created>
  <dc:creator>admin</dc:creator>
  <cp:lastModifiedBy>Soledad</cp:lastModifiedBy>
  <dcterms:modified xsi:type="dcterms:W3CDTF">2018-05-24T06:23:30Z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